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69EA4" w14:textId="77777777" w:rsidR="00C540CE" w:rsidRDefault="00C540CE" w:rsidP="00C540CE">
      <w:pPr>
        <w:jc w:val="center"/>
        <w:rPr>
          <w:b/>
          <w:bCs/>
        </w:rPr>
      </w:pPr>
      <w:r w:rsidRPr="00C540CE">
        <w:rPr>
          <w:b/>
          <w:bCs/>
        </w:rPr>
        <w:t>Similarities and Differences</w:t>
      </w:r>
    </w:p>
    <w:p w14:paraId="03A199B4" w14:textId="140194B7" w:rsidR="00C540CE" w:rsidRDefault="00C540CE" w:rsidP="00C540CE">
      <w:pPr>
        <w:jc w:val="center"/>
        <w:rPr>
          <w:b/>
          <w:bCs/>
        </w:rPr>
      </w:pPr>
      <w:r w:rsidRPr="00C540CE">
        <w:rPr>
          <w:b/>
          <w:bCs/>
        </w:rPr>
        <w:t xml:space="preserve">Between Initiation for Adults and </w:t>
      </w:r>
      <w:r w:rsidR="00425AE6">
        <w:rPr>
          <w:b/>
          <w:bCs/>
        </w:rPr>
        <w:t xml:space="preserve">for </w:t>
      </w:r>
      <w:r w:rsidRPr="00C540CE">
        <w:rPr>
          <w:b/>
          <w:bCs/>
        </w:rPr>
        <w:t>Children of Catechetical Age</w:t>
      </w:r>
    </w:p>
    <w:p w14:paraId="4D95933D" w14:textId="60C36055" w:rsidR="004F43BF" w:rsidRPr="004F43BF" w:rsidRDefault="004F43BF" w:rsidP="00C540CE">
      <w:pPr>
        <w:jc w:val="center"/>
        <w:rPr>
          <w:sz w:val="20"/>
          <w:szCs w:val="20"/>
        </w:rPr>
      </w:pPr>
      <w:r>
        <w:rPr>
          <w:sz w:val="20"/>
          <w:szCs w:val="20"/>
        </w:rPr>
        <w:t>Nicholas Hardesty | Center for the New Evangelization</w:t>
      </w:r>
    </w:p>
    <w:p w14:paraId="2B5D2EAB" w14:textId="77777777" w:rsidR="00C540CE" w:rsidRDefault="00C540CE" w:rsidP="00C540CE"/>
    <w:p w14:paraId="10D5E681" w14:textId="49C886A5" w:rsidR="00C540CE" w:rsidRDefault="00C540CE" w:rsidP="00C540CE">
      <w:r>
        <w:t>Once it is determined that a child needs the initiation process, their experience should, for the most part, mirror that of adults, since “</w:t>
      </w:r>
      <w:r w:rsidRPr="00D779C5">
        <w:t>The prescripts of the canons on adult baptism are to be applied to all those who, no longer infants, have attained the use of reason.</w:t>
      </w:r>
      <w:r>
        <w:t>” (</w:t>
      </w:r>
      <w:r w:rsidRPr="00D779C5">
        <w:t>Can. 852 §1</w:t>
      </w:r>
      <w:r>
        <w:t xml:space="preserve">) However, this does not mean that the initiation process for children should be </w:t>
      </w:r>
      <w:r w:rsidRPr="002E53E4">
        <w:rPr>
          <w:i/>
          <w:iCs/>
        </w:rPr>
        <w:t>exactly</w:t>
      </w:r>
      <w:r>
        <w:t xml:space="preserve"> like the process for adults.</w:t>
      </w:r>
    </w:p>
    <w:p w14:paraId="729B458F" w14:textId="77777777" w:rsidR="00C540CE" w:rsidRDefault="00C540CE" w:rsidP="00C540CE"/>
    <w:p w14:paraId="7298F80D" w14:textId="7815FA9A" w:rsidR="00C540CE" w:rsidRDefault="00C540CE" w:rsidP="00C540CE">
      <w:r>
        <w:t>There are both similarities and differences in the initiation process for these two groups:</w:t>
      </w:r>
    </w:p>
    <w:p w14:paraId="71711184" w14:textId="77777777" w:rsidR="00C540CE" w:rsidRDefault="00C540CE" w:rsidP="00C540CE"/>
    <w:p w14:paraId="19B9EC77" w14:textId="7E3BEEB0" w:rsidR="00C540CE" w:rsidRPr="00C540CE" w:rsidRDefault="00C540CE" w:rsidP="00C540CE">
      <w:pPr>
        <w:rPr>
          <w:b/>
          <w:bCs/>
        </w:rPr>
      </w:pPr>
      <w:r w:rsidRPr="00C540CE">
        <w:rPr>
          <w:b/>
          <w:bCs/>
        </w:rPr>
        <w:t>Similarities</w:t>
      </w:r>
    </w:p>
    <w:p w14:paraId="0CB16049" w14:textId="77777777" w:rsidR="00C540CE" w:rsidRDefault="00C540CE" w:rsidP="00C540CE">
      <w:pPr>
        <w:pStyle w:val="ListParagraph"/>
        <w:numPr>
          <w:ilvl w:val="0"/>
          <w:numId w:val="1"/>
        </w:numPr>
      </w:pPr>
      <w:r>
        <w:t>Their initiation is “extended over some years, if necessary, before they approach the Sacraments” (OCIA 7.2, 76, 253)</w:t>
      </w:r>
    </w:p>
    <w:p w14:paraId="0BC775D6" w14:textId="77777777" w:rsidR="00C540CE" w:rsidRDefault="00C540CE" w:rsidP="00C540CE">
      <w:pPr>
        <w:pStyle w:val="ListParagraph"/>
        <w:numPr>
          <w:ilvl w:val="0"/>
          <w:numId w:val="1"/>
        </w:numPr>
      </w:pPr>
      <w:r>
        <w:t>“Their initiation is marked by various steps and periods and organized by rites” (OCIA 6-7, 253)</w:t>
      </w:r>
    </w:p>
    <w:p w14:paraId="7E0057BF" w14:textId="77777777" w:rsidR="00C540CE" w:rsidRDefault="00C540CE" w:rsidP="00C540CE">
      <w:pPr>
        <w:pStyle w:val="ListParagraph"/>
        <w:numPr>
          <w:ilvl w:val="0"/>
          <w:numId w:val="1"/>
        </w:numPr>
      </w:pPr>
      <w:r>
        <w:t>“It is useful for several children in the same situation to join together” (OCIA 255), just as it is for adults (OCIA 18.2)</w:t>
      </w:r>
    </w:p>
    <w:p w14:paraId="6E3345C0" w14:textId="77777777" w:rsidR="00C540CE" w:rsidRDefault="00C540CE" w:rsidP="00C540CE">
      <w:pPr>
        <w:pStyle w:val="ListParagraph"/>
        <w:numPr>
          <w:ilvl w:val="0"/>
          <w:numId w:val="1"/>
        </w:numPr>
      </w:pPr>
      <w:r>
        <w:t>“It is desired that, insofar as possible, “ the final period of preparation coincides with Lent and the sacraments are celebrated at the Easter Vigil (OCIA 8, 256)</w:t>
      </w:r>
    </w:p>
    <w:p w14:paraId="4007D142" w14:textId="77777777" w:rsidR="00C540CE" w:rsidRDefault="00C540CE" w:rsidP="00C540CE">
      <w:pPr>
        <w:pStyle w:val="ListParagraph"/>
        <w:numPr>
          <w:ilvl w:val="0"/>
          <w:numId w:val="1"/>
        </w:numPr>
      </w:pPr>
      <w:r>
        <w:t>“Celebrations take place with the active participation of some of the congregation” (OCIA 9, 257)</w:t>
      </w:r>
    </w:p>
    <w:p w14:paraId="06F3AA38" w14:textId="77777777" w:rsidR="00C540CE" w:rsidRDefault="00C540CE" w:rsidP="00C540CE">
      <w:pPr>
        <w:pStyle w:val="ListParagraph"/>
        <w:numPr>
          <w:ilvl w:val="0"/>
          <w:numId w:val="1"/>
        </w:numPr>
      </w:pPr>
      <w:r>
        <w:t>The Rites of “Handing On” may be added as well (OCIA 157-162, 178-183, 258)</w:t>
      </w:r>
    </w:p>
    <w:p w14:paraId="4CD5E6A2" w14:textId="77777777" w:rsidR="00C540CE" w:rsidRDefault="00C540CE" w:rsidP="00C540CE">
      <w:r>
        <w:tab/>
      </w:r>
    </w:p>
    <w:p w14:paraId="44FDA8D9" w14:textId="77777777" w:rsidR="00C540CE" w:rsidRPr="00C540CE" w:rsidRDefault="00C540CE" w:rsidP="00C540CE">
      <w:pPr>
        <w:rPr>
          <w:b/>
          <w:bCs/>
        </w:rPr>
      </w:pPr>
      <w:r w:rsidRPr="00C540CE">
        <w:rPr>
          <w:b/>
          <w:bCs/>
        </w:rPr>
        <w:t>Differences</w:t>
      </w:r>
    </w:p>
    <w:p w14:paraId="5243580F" w14:textId="10240FAB" w:rsidR="00C540CE" w:rsidRDefault="00C540CE" w:rsidP="00C540CE">
      <w:pPr>
        <w:pStyle w:val="ListParagraph"/>
        <w:numPr>
          <w:ilvl w:val="0"/>
          <w:numId w:val="1"/>
        </w:numPr>
      </w:pPr>
      <w:r>
        <w:t>Children can only participate in the initiation process with the permission of their parents or guardians (OCIA 252, 254.2</w:t>
      </w:r>
      <w:r w:rsidR="003F2CFF">
        <w:t>)</w:t>
      </w:r>
      <w:r>
        <w:t xml:space="preserve"> </w:t>
      </w:r>
    </w:p>
    <w:p w14:paraId="7C961F5F" w14:textId="77777777" w:rsidR="00C540CE" w:rsidRDefault="00C540CE" w:rsidP="00C540CE">
      <w:pPr>
        <w:pStyle w:val="ListParagraph"/>
        <w:numPr>
          <w:ilvl w:val="0"/>
          <w:numId w:val="1"/>
        </w:numPr>
      </w:pPr>
      <w:r>
        <w:t>“As children, they depend on parents or guardians and are extremely susceptible to the influence of companions as well as society” (OCIA 252)</w:t>
      </w:r>
    </w:p>
    <w:p w14:paraId="263E7D3E" w14:textId="77777777" w:rsidR="00C540CE" w:rsidRDefault="00C540CE" w:rsidP="00C540CE">
      <w:pPr>
        <w:pStyle w:val="ListParagraph"/>
        <w:numPr>
          <w:ilvl w:val="0"/>
          <w:numId w:val="1"/>
        </w:numPr>
      </w:pPr>
      <w:r>
        <w:t>“Their Initiation requires not only personal conversion of a maturity suitable to their age, but also the help of education necessary at that age” (OCIA 253)</w:t>
      </w:r>
    </w:p>
    <w:p w14:paraId="46578592" w14:textId="77777777" w:rsidR="00C540CE" w:rsidRDefault="00C540CE" w:rsidP="00C540CE">
      <w:pPr>
        <w:pStyle w:val="ListParagraph"/>
        <w:numPr>
          <w:ilvl w:val="0"/>
          <w:numId w:val="1"/>
        </w:numPr>
      </w:pPr>
      <w:r>
        <w:t>“From that point it must be adapted also to the spiritual journey of the children, namely their increase in faith and the catechetical instruction that they receive” (OCIA 253)</w:t>
      </w:r>
    </w:p>
    <w:p w14:paraId="26AC07E9" w14:textId="14BCEEE6" w:rsidR="00C540CE" w:rsidRDefault="00F16833" w:rsidP="00C540CE">
      <w:pPr>
        <w:pStyle w:val="ListParagraph"/>
        <w:numPr>
          <w:ilvl w:val="0"/>
          <w:numId w:val="1"/>
        </w:numPr>
      </w:pPr>
      <w:r w:rsidRPr="00F16833">
        <w:t xml:space="preserve">Unlike the adult process, the initiation of children is ordinarily envisioned </w:t>
      </w:r>
      <w:r w:rsidR="00E75C73">
        <w:t>to occur within the context of</w:t>
      </w:r>
      <w:r w:rsidRPr="00F16833">
        <w:t xml:space="preserve"> a larger catechetical group that includes different kinds of baptized peers (OCIA 254</w:t>
      </w:r>
      <w:r w:rsidR="00462AFA">
        <w:t>, 2</w:t>
      </w:r>
      <w:r w:rsidRPr="00F16833">
        <w:t>56</w:t>
      </w:r>
      <w:r w:rsidR="00462AFA">
        <w:t>, 308</w:t>
      </w:r>
      <w:r w:rsidRPr="00F16833">
        <w:t>).</w:t>
      </w:r>
    </w:p>
    <w:p w14:paraId="30B82F44" w14:textId="77777777" w:rsidR="00C540CE" w:rsidRDefault="00C540CE" w:rsidP="00C540CE">
      <w:pPr>
        <w:pStyle w:val="ListParagraph"/>
        <w:numPr>
          <w:ilvl w:val="0"/>
          <w:numId w:val="1"/>
        </w:numPr>
      </w:pPr>
      <w:r>
        <w:t>“Insofar as possible, care should be taken that the children approach the Sacraments of Initiation while their companions who have already been baptized are admitted to Confirmation or the Eucharist” (OCIA 256)</w:t>
      </w:r>
    </w:p>
    <w:p w14:paraId="24FA1155" w14:textId="77777777" w:rsidR="00C540CE" w:rsidRDefault="00C540CE" w:rsidP="00C540CE">
      <w:pPr>
        <w:pStyle w:val="ListParagraph"/>
        <w:numPr>
          <w:ilvl w:val="0"/>
          <w:numId w:val="1"/>
        </w:numPr>
      </w:pPr>
      <w:r>
        <w:t>“When children of this age are initiated, the presence of the whole parish community is not desirable; it is enough that it be represented” (OCIA 257)</w:t>
      </w:r>
    </w:p>
    <w:p w14:paraId="2877A440" w14:textId="77777777" w:rsidR="00C540CE" w:rsidRDefault="00C540CE" w:rsidP="00C540CE">
      <w:pPr>
        <w:pStyle w:val="ListParagraph"/>
        <w:numPr>
          <w:ilvl w:val="0"/>
          <w:numId w:val="1"/>
        </w:numPr>
      </w:pPr>
      <w:r>
        <w:lastRenderedPageBreak/>
        <w:t>Some of the steps and minor rites of the process are either optional or removed in the process for children:</w:t>
      </w:r>
    </w:p>
    <w:p w14:paraId="10E4F1D6" w14:textId="77777777" w:rsidR="00C540CE" w:rsidRDefault="00C540CE" w:rsidP="00C540CE">
      <w:pPr>
        <w:pStyle w:val="ListParagraph"/>
        <w:numPr>
          <w:ilvl w:val="1"/>
          <w:numId w:val="1"/>
        </w:numPr>
      </w:pPr>
      <w:r>
        <w:t xml:space="preserve">The OCIA refers to “the </w:t>
      </w:r>
      <w:r w:rsidRPr="00670EC9">
        <w:rPr>
          <w:i/>
          <w:iCs/>
        </w:rPr>
        <w:t>optional</w:t>
      </w:r>
      <w:r>
        <w:t xml:space="preserve"> Rite of Election” (253, 256, 258, 277). It’s not clear if the Rite of Election </w:t>
      </w:r>
      <w:r w:rsidRPr="00670EC9">
        <w:rPr>
          <w:i/>
          <w:iCs/>
        </w:rPr>
        <w:t>itself</w:t>
      </w:r>
      <w:r>
        <w:t xml:space="preserve"> is optional for children, or if the use of </w:t>
      </w:r>
      <w:r w:rsidRPr="00670EC9">
        <w:rPr>
          <w:i/>
          <w:iCs/>
        </w:rPr>
        <w:t>the adapted Rite of Election for children</w:t>
      </w:r>
      <w:r>
        <w:t xml:space="preserve"> is optional. This is for each parish pastor to decide.</w:t>
      </w:r>
    </w:p>
    <w:p w14:paraId="3A1E5644" w14:textId="77777777" w:rsidR="00C540CE" w:rsidRDefault="00C540CE" w:rsidP="00C540CE">
      <w:pPr>
        <w:pStyle w:val="ListParagraph"/>
        <w:numPr>
          <w:ilvl w:val="1"/>
          <w:numId w:val="1"/>
        </w:numPr>
      </w:pPr>
      <w:r>
        <w:t>Only one penitential rite, which belongs to the category of Scrutinies (OCIA 291), is required and a second may be added (OCIA 294), whereas it belongs to the bishop to dispense of scrutinies for adults (OCIA 34.3)</w:t>
      </w:r>
    </w:p>
    <w:p w14:paraId="38E03908" w14:textId="77777777" w:rsidR="00C540CE" w:rsidRDefault="00C540CE" w:rsidP="00C540CE">
      <w:pPr>
        <w:pStyle w:val="ListParagraph"/>
        <w:numPr>
          <w:ilvl w:val="0"/>
          <w:numId w:val="1"/>
        </w:numPr>
      </w:pPr>
      <w:r>
        <w:t>The place for the rites can often be changed to a location that would be less intimidating to the children (OCIA 261, 279)</w:t>
      </w:r>
    </w:p>
    <w:p w14:paraId="0CF8C8F1" w14:textId="77777777" w:rsidR="00C540CE" w:rsidRDefault="00C540CE" w:rsidP="00C540CE">
      <w:pPr>
        <w:pStyle w:val="ListParagraph"/>
        <w:numPr>
          <w:ilvl w:val="0"/>
          <w:numId w:val="1"/>
        </w:numPr>
      </w:pPr>
      <w:r>
        <w:t>The Easter Vigil is strongly prioritized as the time for the initiation of adults (OCIA 23, 207), whereas “it is suggested” that Baptism be celebrated “at the Easter Vigil or on a Sunday” (OCIA 304)</w:t>
      </w:r>
    </w:p>
    <w:p w14:paraId="68758F88" w14:textId="77777777" w:rsidR="004277D5" w:rsidRDefault="004277D5"/>
    <w:p w14:paraId="3F6E6DB8" w14:textId="35C4F914" w:rsidR="00C540CE" w:rsidRDefault="00C540CE">
      <w:r>
        <w:t>Knowing these similarities and differences should empower initiation ministry coordinators to make give children the fullest possible experience of the initiation process while still adapting it to their unique needs.</w:t>
      </w:r>
    </w:p>
    <w:sectPr w:rsidR="00C540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844CBB"/>
    <w:multiLevelType w:val="hybridMultilevel"/>
    <w:tmpl w:val="9F8A0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6856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0CE"/>
    <w:rsid w:val="003F2CFF"/>
    <w:rsid w:val="00425AE6"/>
    <w:rsid w:val="004277D5"/>
    <w:rsid w:val="00462AFA"/>
    <w:rsid w:val="004F43BF"/>
    <w:rsid w:val="00565E35"/>
    <w:rsid w:val="005B65C3"/>
    <w:rsid w:val="00765F2A"/>
    <w:rsid w:val="00873107"/>
    <w:rsid w:val="008C6BC7"/>
    <w:rsid w:val="00B032DB"/>
    <w:rsid w:val="00B3356E"/>
    <w:rsid w:val="00C540CE"/>
    <w:rsid w:val="00C83492"/>
    <w:rsid w:val="00D03915"/>
    <w:rsid w:val="00D15117"/>
    <w:rsid w:val="00E75C73"/>
    <w:rsid w:val="00F16833"/>
    <w:rsid w:val="00F5373D"/>
    <w:rsid w:val="00F81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64382"/>
  <w15:chartTrackingRefBased/>
  <w15:docId w15:val="{0E5434DD-5FB8-4B68-A927-619BA1DA0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0CE"/>
  </w:style>
  <w:style w:type="paragraph" w:styleId="Heading1">
    <w:name w:val="heading 1"/>
    <w:basedOn w:val="Normal"/>
    <w:next w:val="Normal"/>
    <w:link w:val="Heading1Char"/>
    <w:uiPriority w:val="9"/>
    <w:qFormat/>
    <w:rsid w:val="00C540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40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40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40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40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40C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40C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40C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40C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40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40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40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40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40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40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40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40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40CE"/>
    <w:rPr>
      <w:rFonts w:eastAsiaTheme="majorEastAsia" w:cstheme="majorBidi"/>
      <w:color w:val="272727" w:themeColor="text1" w:themeTint="D8"/>
    </w:rPr>
  </w:style>
  <w:style w:type="paragraph" w:styleId="Title">
    <w:name w:val="Title"/>
    <w:basedOn w:val="Normal"/>
    <w:next w:val="Normal"/>
    <w:link w:val="TitleChar"/>
    <w:uiPriority w:val="10"/>
    <w:qFormat/>
    <w:rsid w:val="00C540C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40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40C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40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40C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540CE"/>
    <w:rPr>
      <w:i/>
      <w:iCs/>
      <w:color w:val="404040" w:themeColor="text1" w:themeTint="BF"/>
    </w:rPr>
  </w:style>
  <w:style w:type="paragraph" w:styleId="ListParagraph">
    <w:name w:val="List Paragraph"/>
    <w:basedOn w:val="Normal"/>
    <w:uiPriority w:val="34"/>
    <w:qFormat/>
    <w:rsid w:val="00C540CE"/>
    <w:pPr>
      <w:ind w:left="720"/>
      <w:contextualSpacing/>
    </w:pPr>
  </w:style>
  <w:style w:type="character" w:styleId="IntenseEmphasis">
    <w:name w:val="Intense Emphasis"/>
    <w:basedOn w:val="DefaultParagraphFont"/>
    <w:uiPriority w:val="21"/>
    <w:qFormat/>
    <w:rsid w:val="00C540CE"/>
    <w:rPr>
      <w:i/>
      <w:iCs/>
      <w:color w:val="0F4761" w:themeColor="accent1" w:themeShade="BF"/>
    </w:rPr>
  </w:style>
  <w:style w:type="paragraph" w:styleId="IntenseQuote">
    <w:name w:val="Intense Quote"/>
    <w:basedOn w:val="Normal"/>
    <w:next w:val="Normal"/>
    <w:link w:val="IntenseQuoteChar"/>
    <w:uiPriority w:val="30"/>
    <w:qFormat/>
    <w:rsid w:val="00C540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40CE"/>
    <w:rPr>
      <w:i/>
      <w:iCs/>
      <w:color w:val="0F4761" w:themeColor="accent1" w:themeShade="BF"/>
    </w:rPr>
  </w:style>
  <w:style w:type="character" w:styleId="IntenseReference">
    <w:name w:val="Intense Reference"/>
    <w:basedOn w:val="DefaultParagraphFont"/>
    <w:uiPriority w:val="32"/>
    <w:qFormat/>
    <w:rsid w:val="00C540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544</Words>
  <Characters>3104</Characters>
  <Application>Microsoft Office Word</Application>
  <DocSecurity>0</DocSecurity>
  <Lines>25</Lines>
  <Paragraphs>7</Paragraphs>
  <ScaleCrop>false</ScaleCrop>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Hardesty, Nicholas</dc:creator>
  <cp:keywords/>
  <dc:description/>
  <cp:lastModifiedBy>Hardesty, Nicholas</cp:lastModifiedBy>
  <cp:revision>13</cp:revision>
  <dcterms:created xsi:type="dcterms:W3CDTF">2026-06-18T00:34:00Z</dcterms:created>
  <dcterms:modified xsi:type="dcterms:W3CDTF">2026-06-18T18:28:00Z</dcterms:modified>
</cp:coreProperties>
</file>